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FADC4">
      <w:pPr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0"/>
          <w:szCs w:val="30"/>
        </w:rPr>
        <w:t>两院区一般患者转运车租赁服务独立采购项目</w:t>
      </w:r>
    </w:p>
    <w:bookmarkEnd w:id="0"/>
    <w:p w14:paraId="69D74EDE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一、服务范围</w:t>
      </w:r>
    </w:p>
    <w:p w14:paraId="69C76BFD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提供国药同煤总医院平旺院区与恒安院区之间的一般患者转运服务。运行路线为：国药同煤总医院平旺院区—国药同煤二医院—国药同煤三医院—国药同煤总医院恒安院区，往返均经停上述两站，往返计1趟。</w:t>
      </w:r>
    </w:p>
    <w:p w14:paraId="297D8F5C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二、车辆要求</w:t>
      </w:r>
    </w:p>
    <w:p w14:paraId="530917EB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车辆数量及运力保障：服务商须投入不少于2辆17—19座中型客车，车辆技术状况良好，证照齐全，符合国家安全技术标准。在此基础上，服务商应具备充足的备用运力，确保各发车时刻点均有车辆按时发出；遇车辆故障、临时维修等突发情形时，须及时调派合规车辆接替，不得因车辆原因延误或影响患者转运，保障转运服务连续、稳定运行。</w:t>
      </w:r>
    </w:p>
    <w:p w14:paraId="546E5286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车辆须配备冷暖空调，定期消毒，保持车内卫生，满足医疗转运基本卫生要求。</w:t>
      </w:r>
    </w:p>
    <w:p w14:paraId="0AC80F3F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车辆保险齐全，包括但不限于交强险、商业第三者责任险、车上人员责任险等，险种及保额须在报价中明确。</w:t>
      </w:r>
    </w:p>
    <w:p w14:paraId="5CDF5B88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三、服务要求</w:t>
      </w:r>
    </w:p>
    <w:p w14:paraId="45CE8768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按医院规定的发车时刻表运行：工作日全天发车（10趟/天），周六、周日及国家法定节假日上午半天发车（3趟/上午半天），具体时刻以医院通知为准。</w:t>
      </w:r>
    </w:p>
    <w:p w14:paraId="35FC24CA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驾驶员须持有相应准驾车型驾驶证及从业资格证，服务规范，服从医院调度管理。</w:t>
      </w:r>
    </w:p>
    <w:p w14:paraId="2C574CC4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服务商须做好日常运行记录，接受医院考核，考核结果作为月度付款依据。</w:t>
      </w:r>
    </w:p>
    <w:p w14:paraId="24B004F0"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 病理标本转运相关条款纳入合同，按医院要求执行。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6F63E0"/>
    <w:rsid w:val="410E7493"/>
    <w:rsid w:val="4A95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jc w:val="center"/>
      <w:outlineLvl w:val="0"/>
    </w:pPr>
    <w:rPr>
      <w:rFonts w:ascii="Times New Roman" w:hAnsi="Times New Roman" w:eastAsia="宋体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2024-02-01T03:41:00Z</dcterms:created>
  <dc:creator>Administrator</dc:creator>
  <cp:lastModifiedBy>黑蘑菇炒蒜</cp:lastModifiedBy>
  <dcterms:modified xsi:type="dcterms:W3CDTF">2026-10-19T01:58:55Z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73E0996F18B44F89A5337C99E72917BB_12</vt:lpwstr>
  </property>
  <property fmtid="{D5CDD505-2E9C-101B-9397-08002B2CF9AE}" pid="4" name="KSOTemplateDocerSaveRecord">
    <vt:lpwstr>eyJoZGlkIjoiMjZkZjY2MjgyYjU3OTZjNDJmZDQyZmE4NjU5M2MwNGIiLCJ1c2VySWQiOiIyODEyOTU5MTQifQ==</vt:lpwstr>
  </property>
</Properties>
</file>